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E4D9C" w14:textId="4BB74CAF" w:rsidR="00F86EC2" w:rsidRDefault="00F86EC2" w:rsidP="0084028D">
      <w:pPr>
        <w:widowControl/>
        <w:tabs>
          <w:tab w:val="right" w:pos="9360"/>
        </w:tabs>
        <w:wordWrap/>
        <w:autoSpaceDE/>
        <w:jc w:val="left"/>
        <w:rPr>
          <w:rFonts w:ascii="Arial" w:eastAsia="SimSun" w:hAnsi="Arial" w:cs="Arial"/>
          <w:b/>
          <w:kern w:val="0"/>
          <w:sz w:val="28"/>
          <w:szCs w:val="28"/>
          <w:lang w:eastAsia="en-US"/>
        </w:rPr>
      </w:pPr>
      <w:bookmarkStart w:id="0" w:name="OLE_LINK6"/>
      <w:bookmarkStart w:id="1" w:name="OLE_LINK7"/>
      <w:bookmarkStart w:id="2" w:name="OLE_LINK2"/>
      <w:bookmarkStart w:id="3" w:name="OLE_LINK1"/>
      <w:r>
        <w:rPr>
          <w:rFonts w:ascii="Arial" w:eastAsia="SimSun" w:hAnsi="Arial" w:cs="Arial"/>
          <w:b/>
          <w:kern w:val="0"/>
          <w:sz w:val="28"/>
          <w:szCs w:val="28"/>
          <w:lang w:eastAsia="en-US"/>
        </w:rPr>
        <w:t xml:space="preserve">3GPP TSG RAN WG1 Meeting </w:t>
      </w:r>
      <w:r>
        <w:rPr>
          <w:rFonts w:ascii="Arial" w:eastAsia="MS Mincho" w:hAnsi="Arial" w:cs="Arial"/>
          <w:b/>
          <w:bCs/>
          <w:sz w:val="28"/>
          <w:lang w:eastAsia="ja-JP"/>
        </w:rPr>
        <w:t>#8</w:t>
      </w:r>
      <w:r w:rsidR="00105A23">
        <w:rPr>
          <w:rFonts w:ascii="Arial" w:eastAsia="MS Mincho" w:hAnsi="Arial" w:cs="Arial"/>
          <w:b/>
          <w:bCs/>
          <w:sz w:val="28"/>
          <w:lang w:eastAsia="ja-JP"/>
        </w:rPr>
        <w:t>4</w:t>
      </w:r>
      <w:r>
        <w:rPr>
          <w:rFonts w:ascii="Arial" w:eastAsia="MS Mincho" w:hAnsi="Arial" w:cs="Arial"/>
          <w:b/>
          <w:bCs/>
          <w:sz w:val="28"/>
          <w:lang w:eastAsia="ja-JP"/>
        </w:rPr>
        <w:tab/>
        <w:t xml:space="preserve">                         </w:t>
      </w:r>
      <w:r w:rsidR="00D473C6">
        <w:rPr>
          <w:rFonts w:ascii="Arial" w:eastAsia="SimSun" w:hAnsi="Arial" w:cs="Arial"/>
          <w:b/>
          <w:kern w:val="0"/>
          <w:sz w:val="28"/>
          <w:szCs w:val="28"/>
          <w:lang w:eastAsia="en-US"/>
        </w:rPr>
        <w:t>R1-</w:t>
      </w:r>
      <w:r w:rsidR="00D473C6" w:rsidRPr="00D473C6">
        <w:rPr>
          <w:rFonts w:ascii="Arial" w:eastAsia="SimSun" w:hAnsi="Arial" w:cs="Arial"/>
          <w:b/>
          <w:kern w:val="0"/>
          <w:sz w:val="28"/>
          <w:szCs w:val="28"/>
          <w:lang w:eastAsia="en-US"/>
        </w:rPr>
        <w:t>160877</w:t>
      </w:r>
    </w:p>
    <w:bookmarkEnd w:id="2"/>
    <w:bookmarkEnd w:id="3"/>
    <w:p w14:paraId="4FD42280" w14:textId="77777777" w:rsidR="00F86EC2" w:rsidRDefault="00F86EC2" w:rsidP="00F86EC2">
      <w:pPr>
        <w:pStyle w:val="Header"/>
        <w:spacing w:before="120"/>
        <w:rPr>
          <w:rFonts w:ascii="Arial" w:eastAsia="MS Mincho" w:hAnsi="Arial" w:cs="Arial"/>
          <w:b/>
          <w:bCs/>
          <w:sz w:val="24"/>
          <w:lang w:eastAsia="ja-JP"/>
        </w:rPr>
      </w:pPr>
      <w:r>
        <w:rPr>
          <w:rFonts w:ascii="Arial" w:eastAsia="MS Mincho" w:hAnsi="Arial" w:cs="Arial"/>
          <w:b/>
          <w:bCs/>
          <w:sz w:val="24"/>
          <w:lang w:eastAsia="ja-JP"/>
        </w:rPr>
        <w:t>St Julian’s,</w:t>
      </w:r>
      <w:r>
        <w:rPr>
          <w:rFonts w:ascii="Arial" w:eastAsia="MS Mincho" w:hAnsi="Arial" w:cs="Arial"/>
          <w:b/>
          <w:bCs/>
          <w:sz w:val="28"/>
          <w:lang w:eastAsia="ja-JP"/>
        </w:rPr>
        <w:t xml:space="preserve"> </w:t>
      </w:r>
      <w:r>
        <w:rPr>
          <w:rFonts w:ascii="Arial" w:eastAsia="MS Mincho" w:hAnsi="Arial" w:cs="Arial"/>
          <w:b/>
          <w:bCs/>
          <w:sz w:val="24"/>
          <w:lang w:eastAsia="ja-JP"/>
        </w:rPr>
        <w:t xml:space="preserve">Malta </w:t>
      </w:r>
    </w:p>
    <w:p w14:paraId="183C779F" w14:textId="77777777" w:rsidR="00F86EC2" w:rsidRDefault="00F86EC2" w:rsidP="00F86EC2">
      <w:pPr>
        <w:pStyle w:val="Header"/>
        <w:spacing w:before="120"/>
        <w:rPr>
          <w:rFonts w:ascii="Arial" w:eastAsia="MS Mincho" w:hAnsi="Arial" w:cs="Arial"/>
          <w:b/>
          <w:bCs/>
          <w:kern w:val="0"/>
          <w:sz w:val="24"/>
          <w:lang w:eastAsia="ja-JP"/>
        </w:rPr>
      </w:pPr>
      <w:r>
        <w:rPr>
          <w:rFonts w:ascii="Arial" w:eastAsia="MS Mincho" w:hAnsi="Arial" w:cs="Arial"/>
          <w:b/>
          <w:bCs/>
          <w:sz w:val="24"/>
          <w:lang w:eastAsia="ja-JP"/>
        </w:rPr>
        <w:t>15</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- 19</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February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0FD77E9C"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F86EC2">
        <w:rPr>
          <w:rFonts w:ascii="Arial" w:hAnsi="Arial" w:cs="Arial"/>
          <w:snapToGrid w:val="0"/>
          <w:sz w:val="24"/>
        </w:rPr>
        <w:t>7.</w:t>
      </w:r>
      <w:r w:rsidR="00347EA1">
        <w:rPr>
          <w:rFonts w:ascii="Arial" w:hAnsi="Arial" w:cs="Arial"/>
          <w:snapToGrid w:val="0"/>
          <w:sz w:val="24"/>
        </w:rPr>
        <w:t>2.1.1.</w:t>
      </w:r>
      <w:r w:rsidR="002A014C">
        <w:rPr>
          <w:rFonts w:ascii="Arial" w:hAnsi="Arial" w:cs="Arial"/>
          <w:snapToGrid w:val="0"/>
          <w:sz w:val="24"/>
        </w:rPr>
        <w:t>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C7566CB"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w:t>
      </w:r>
      <w:r w:rsidR="00B41F98">
        <w:rPr>
          <w:rFonts w:ascii="Arial" w:hAnsi="Arial" w:cs="Arial"/>
          <w:snapToGrid w:val="0"/>
          <w:sz w:val="24"/>
        </w:rPr>
        <w:t>PD</w:t>
      </w:r>
      <w:r w:rsidR="002A014C">
        <w:rPr>
          <w:rFonts w:ascii="Arial" w:hAnsi="Arial" w:cs="Arial"/>
          <w:snapToGrid w:val="0"/>
          <w:sz w:val="24"/>
        </w:rPr>
        <w:t>S</w:t>
      </w:r>
      <w:r w:rsidR="00B41F98">
        <w:rPr>
          <w:rFonts w:ascii="Arial" w:hAnsi="Arial" w:cs="Arial"/>
          <w:snapToGrid w:val="0"/>
          <w:sz w:val="24"/>
        </w:rPr>
        <w:t>CH</w:t>
      </w:r>
      <w:r w:rsidR="00347EA1">
        <w:rPr>
          <w:rFonts w:ascii="Arial" w:hAnsi="Arial" w:cs="Arial"/>
          <w:snapToGrid w:val="0"/>
          <w:sz w:val="24"/>
        </w:rPr>
        <w:t xml:space="preserve">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52068266"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F86EC2">
        <w:rPr>
          <w:szCs w:val="22"/>
          <w:lang w:val="en-US"/>
        </w:rPr>
        <w:t xml:space="preserve"> NB-</w:t>
      </w:r>
      <w:proofErr w:type="spellStart"/>
      <w:r w:rsidR="00F86EC2">
        <w:rPr>
          <w:szCs w:val="22"/>
          <w:lang w:val="en-US"/>
        </w:rPr>
        <w:t>IoT</w:t>
      </w:r>
      <w:proofErr w:type="spellEnd"/>
      <w:r w:rsidR="00F86EC2">
        <w:rPr>
          <w:szCs w:val="22"/>
          <w:lang w:val="en-US"/>
        </w:rPr>
        <w:t xml:space="preserve"> </w:t>
      </w:r>
      <w:proofErr w:type="spellStart"/>
      <w:r w:rsidR="00F86EC2">
        <w:rPr>
          <w:szCs w:val="22"/>
          <w:lang w:val="en-US"/>
        </w:rPr>
        <w:t>AdHoc</w:t>
      </w:r>
      <w:proofErr w:type="spellEnd"/>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6B1D32DA" w14:textId="7D769B87" w:rsidR="00F86EC2" w:rsidRPr="00F86EC2" w:rsidRDefault="00F86EC2" w:rsidP="00F86EC2">
      <w:pPr>
        <w:widowControl/>
        <w:numPr>
          <w:ilvl w:val="0"/>
          <w:numId w:val="38"/>
        </w:numPr>
        <w:tabs>
          <w:tab w:val="num" w:pos="1080"/>
        </w:tabs>
        <w:wordWrap/>
        <w:autoSpaceDE/>
        <w:autoSpaceDN/>
        <w:ind w:left="1080"/>
        <w:jc w:val="left"/>
        <w:rPr>
          <w:rFonts w:ascii="Times New Roman"/>
          <w:kern w:val="0"/>
          <w:sz w:val="22"/>
          <w:szCs w:val="22"/>
          <w:lang w:eastAsia="ja-JP"/>
        </w:rPr>
      </w:pPr>
      <w:r w:rsidRPr="00F86EC2">
        <w:rPr>
          <w:rFonts w:ascii="Times New Roman"/>
          <w:sz w:val="22"/>
          <w:szCs w:val="22"/>
        </w:rPr>
        <w:t>There are two NB-</w:t>
      </w:r>
      <w:proofErr w:type="spellStart"/>
      <w:r w:rsidRPr="00F86EC2">
        <w:rPr>
          <w:rFonts w:ascii="Times New Roman"/>
          <w:sz w:val="22"/>
          <w:szCs w:val="22"/>
        </w:rPr>
        <w:t>IoT</w:t>
      </w:r>
      <w:proofErr w:type="spellEnd"/>
      <w:r w:rsidRPr="00F86EC2">
        <w:rPr>
          <w:rFonts w:ascii="Times New Roman"/>
          <w:sz w:val="22"/>
          <w:szCs w:val="22"/>
        </w:rPr>
        <w:t xml:space="preserve"> </w:t>
      </w:r>
      <w:proofErr w:type="spellStart"/>
      <w:r w:rsidRPr="00F86EC2">
        <w:rPr>
          <w:rFonts w:ascii="Times New Roman"/>
          <w:sz w:val="22"/>
          <w:szCs w:val="22"/>
        </w:rPr>
        <w:t>donlink</w:t>
      </w:r>
      <w:proofErr w:type="spellEnd"/>
      <w:r w:rsidRPr="00F86EC2">
        <w:rPr>
          <w:rFonts w:ascii="Times New Roman"/>
          <w:sz w:val="22"/>
          <w:szCs w:val="22"/>
        </w:rPr>
        <w:t xml:space="preserve"> transmission schemes defined in all operation modes:</w:t>
      </w:r>
    </w:p>
    <w:p w14:paraId="5A34C716" w14:textId="77777777" w:rsidR="00F86EC2" w:rsidRPr="00F86EC2" w:rsidRDefault="00F86EC2" w:rsidP="00F86EC2">
      <w:pPr>
        <w:widowControl/>
        <w:numPr>
          <w:ilvl w:val="1"/>
          <w:numId w:val="38"/>
        </w:numPr>
        <w:tabs>
          <w:tab w:val="num" w:pos="1800"/>
        </w:tabs>
        <w:wordWrap/>
        <w:autoSpaceDE/>
        <w:autoSpaceDN/>
        <w:ind w:left="1800"/>
        <w:jc w:val="left"/>
        <w:rPr>
          <w:rFonts w:ascii="Times New Roman"/>
          <w:sz w:val="22"/>
          <w:szCs w:val="22"/>
        </w:rPr>
      </w:pPr>
      <w:r w:rsidRPr="00F86EC2">
        <w:rPr>
          <w:rFonts w:ascii="Times New Roman"/>
          <w:sz w:val="22"/>
          <w:szCs w:val="22"/>
        </w:rPr>
        <w:t>Single antenna port (port 0)</w:t>
      </w:r>
    </w:p>
    <w:p w14:paraId="35C67FF8" w14:textId="77777777" w:rsidR="00F86EC2" w:rsidRPr="00F86EC2" w:rsidRDefault="00F86EC2" w:rsidP="00F86EC2">
      <w:pPr>
        <w:widowControl/>
        <w:numPr>
          <w:ilvl w:val="1"/>
          <w:numId w:val="38"/>
        </w:numPr>
        <w:tabs>
          <w:tab w:val="num" w:pos="1800"/>
        </w:tabs>
        <w:wordWrap/>
        <w:autoSpaceDE/>
        <w:autoSpaceDN/>
        <w:ind w:left="1800"/>
        <w:jc w:val="left"/>
        <w:rPr>
          <w:rFonts w:ascii="Times New Roman"/>
          <w:sz w:val="22"/>
          <w:szCs w:val="22"/>
        </w:rPr>
      </w:pPr>
      <w:r w:rsidRPr="00F86EC2">
        <w:rPr>
          <w:rFonts w:ascii="Times New Roman"/>
          <w:sz w:val="22"/>
          <w:szCs w:val="22"/>
        </w:rPr>
        <w:t>Two antenna ports (ports 0 and 1), using transmit diversity, i.e. SFBC</w:t>
      </w:r>
    </w:p>
    <w:p w14:paraId="1B2812EE" w14:textId="77777777" w:rsidR="00F86EC2" w:rsidRPr="00F86EC2" w:rsidRDefault="00F86EC2" w:rsidP="00F86EC2">
      <w:pPr>
        <w:widowControl/>
        <w:numPr>
          <w:ilvl w:val="0"/>
          <w:numId w:val="38"/>
        </w:numPr>
        <w:tabs>
          <w:tab w:val="num" w:pos="1080"/>
        </w:tabs>
        <w:wordWrap/>
        <w:autoSpaceDE/>
        <w:autoSpaceDN/>
        <w:ind w:left="1080"/>
        <w:jc w:val="left"/>
        <w:rPr>
          <w:rFonts w:ascii="Times New Roman"/>
          <w:sz w:val="22"/>
          <w:szCs w:val="22"/>
        </w:rPr>
      </w:pPr>
      <w:r w:rsidRPr="00F86EC2">
        <w:rPr>
          <w:rFonts w:ascii="Times New Roman"/>
          <w:sz w:val="22"/>
          <w:szCs w:val="22"/>
        </w:rPr>
        <w:t>No NB-</w:t>
      </w:r>
      <w:proofErr w:type="spellStart"/>
      <w:r w:rsidRPr="00F86EC2">
        <w:rPr>
          <w:rFonts w:ascii="Times New Roman"/>
          <w:sz w:val="22"/>
          <w:szCs w:val="22"/>
        </w:rPr>
        <w:t>IoT</w:t>
      </w:r>
      <w:proofErr w:type="spellEnd"/>
      <w:r w:rsidRPr="00F86EC2">
        <w:rPr>
          <w:rFonts w:ascii="Times New Roman"/>
          <w:sz w:val="22"/>
          <w:szCs w:val="22"/>
        </w:rPr>
        <w:t xml:space="preserve"> transmission mode is defined using any other transmission scheme</w:t>
      </w:r>
    </w:p>
    <w:p w14:paraId="6B6AF306" w14:textId="19E1626F" w:rsidR="00F86EC2" w:rsidRPr="00F86EC2" w:rsidRDefault="00F86EC2" w:rsidP="00F86EC2">
      <w:pPr>
        <w:widowControl/>
        <w:numPr>
          <w:ilvl w:val="0"/>
          <w:numId w:val="38"/>
        </w:numPr>
        <w:tabs>
          <w:tab w:val="num" w:pos="1080"/>
        </w:tabs>
        <w:wordWrap/>
        <w:autoSpaceDE/>
        <w:autoSpaceDN/>
        <w:ind w:left="1080"/>
        <w:jc w:val="left"/>
        <w:rPr>
          <w:rFonts w:ascii="Times New Roman"/>
          <w:sz w:val="22"/>
          <w:szCs w:val="22"/>
        </w:rPr>
      </w:pPr>
      <w:r w:rsidRPr="00F86EC2">
        <w:rPr>
          <w:rFonts w:ascii="Times New Roman"/>
          <w:sz w:val="22"/>
          <w:szCs w:val="22"/>
        </w:rPr>
        <w:t>If the number of NB-PBCH antenna port is 1, single-antenna port, otherwise transmit diversity, i.e. SFBC</w:t>
      </w:r>
    </w:p>
    <w:p w14:paraId="745149C7" w14:textId="77777777" w:rsidR="00F86EC2" w:rsidRPr="00F86EC2" w:rsidRDefault="00F86EC2" w:rsidP="00F86EC2">
      <w:pPr>
        <w:widowControl/>
        <w:numPr>
          <w:ilvl w:val="0"/>
          <w:numId w:val="38"/>
        </w:numPr>
        <w:wordWrap/>
        <w:autoSpaceDE/>
        <w:autoSpaceDN/>
        <w:jc w:val="left"/>
        <w:rPr>
          <w:rFonts w:ascii="Times New Roman"/>
          <w:sz w:val="22"/>
          <w:szCs w:val="22"/>
        </w:rPr>
      </w:pPr>
      <w:r w:rsidRPr="00F86EC2">
        <w:rPr>
          <w:rFonts w:ascii="Times New Roman"/>
          <w:sz w:val="22"/>
          <w:szCs w:val="22"/>
        </w:rPr>
        <w:t>Resource mapping: frequency first, then time.</w:t>
      </w:r>
    </w:p>
    <w:p w14:paraId="6D8841D7" w14:textId="77777777" w:rsidR="00F86EC2" w:rsidRPr="00F86EC2" w:rsidRDefault="00F86EC2" w:rsidP="00F86EC2">
      <w:pPr>
        <w:widowControl/>
        <w:numPr>
          <w:ilvl w:val="0"/>
          <w:numId w:val="38"/>
        </w:numPr>
        <w:wordWrap/>
        <w:autoSpaceDE/>
        <w:autoSpaceDN/>
        <w:jc w:val="left"/>
        <w:rPr>
          <w:rFonts w:ascii="Times New Roman"/>
          <w:sz w:val="22"/>
          <w:szCs w:val="22"/>
        </w:rPr>
      </w:pPr>
      <w:r w:rsidRPr="00F86EC2">
        <w:rPr>
          <w:rFonts w:ascii="Times New Roman"/>
          <w:sz w:val="22"/>
          <w:szCs w:val="22"/>
        </w:rPr>
        <w:t>QPSK baseline, 16-QAM FFS</w:t>
      </w:r>
    </w:p>
    <w:p w14:paraId="1F52BA56" w14:textId="77777777" w:rsidR="00F86EC2" w:rsidRPr="00F86EC2" w:rsidRDefault="00F86EC2" w:rsidP="00F86EC2">
      <w:pPr>
        <w:widowControl/>
        <w:numPr>
          <w:ilvl w:val="0"/>
          <w:numId w:val="38"/>
        </w:numPr>
        <w:wordWrap/>
        <w:autoSpaceDE/>
        <w:autoSpaceDN/>
        <w:jc w:val="left"/>
        <w:rPr>
          <w:rFonts w:ascii="Times New Roman"/>
          <w:sz w:val="22"/>
          <w:szCs w:val="22"/>
        </w:rPr>
      </w:pPr>
      <w:r w:rsidRPr="00F86EC2">
        <w:rPr>
          <w:rFonts w:ascii="Times New Roman"/>
          <w:sz w:val="22"/>
          <w:szCs w:val="22"/>
        </w:rPr>
        <w:t>Single process HARQ for PDSCH is realized by adaptive and asynchronous timing transmission</w:t>
      </w:r>
    </w:p>
    <w:p w14:paraId="43C33801" w14:textId="77777777" w:rsidR="00F86EC2" w:rsidRPr="00F86EC2" w:rsidRDefault="00F86EC2" w:rsidP="00F86EC2">
      <w:pPr>
        <w:widowControl/>
        <w:numPr>
          <w:ilvl w:val="0"/>
          <w:numId w:val="38"/>
        </w:numPr>
        <w:wordWrap/>
        <w:autoSpaceDE/>
        <w:autoSpaceDN/>
        <w:jc w:val="left"/>
        <w:rPr>
          <w:rFonts w:ascii="Times New Roman"/>
          <w:sz w:val="22"/>
          <w:szCs w:val="22"/>
        </w:rPr>
      </w:pPr>
      <w:r w:rsidRPr="00F86EC2">
        <w:rPr>
          <w:rFonts w:ascii="Times New Roman"/>
          <w:sz w:val="22"/>
          <w:szCs w:val="22"/>
        </w:rPr>
        <w:t>Channel coding: TBCC</w:t>
      </w:r>
    </w:p>
    <w:p w14:paraId="33485222" w14:textId="77777777" w:rsidR="00F86EC2" w:rsidRPr="00F86EC2" w:rsidRDefault="00F86EC2" w:rsidP="00F86EC2">
      <w:pPr>
        <w:widowControl/>
        <w:numPr>
          <w:ilvl w:val="0"/>
          <w:numId w:val="38"/>
        </w:numPr>
        <w:wordWrap/>
        <w:autoSpaceDE/>
        <w:autoSpaceDN/>
        <w:jc w:val="left"/>
        <w:rPr>
          <w:rFonts w:ascii="Times New Roman"/>
          <w:sz w:val="22"/>
          <w:szCs w:val="22"/>
        </w:rPr>
      </w:pPr>
      <w:r w:rsidRPr="00F86EC2">
        <w:rPr>
          <w:rFonts w:ascii="Times New Roman"/>
          <w:sz w:val="22"/>
          <w:szCs w:val="22"/>
        </w:rPr>
        <w:t>FFS: RV for NB-PDSCH is supported</w:t>
      </w:r>
    </w:p>
    <w:p w14:paraId="4A3978F0" w14:textId="77777777" w:rsidR="00F86EC2" w:rsidRDefault="00F86EC2" w:rsidP="00F86EC2">
      <w:pPr>
        <w:widowControl/>
        <w:wordWrap/>
        <w:autoSpaceDE/>
        <w:autoSpaceDN/>
        <w:ind w:left="1080"/>
        <w:jc w:val="left"/>
      </w:pPr>
    </w:p>
    <w:p w14:paraId="26573154" w14:textId="77777777" w:rsidR="004C2CDA" w:rsidRDefault="004C2CDA" w:rsidP="006A53EE">
      <w:pPr>
        <w:pStyle w:val="LGTdoc0"/>
        <w:spacing w:afterLines="0" w:after="120" w:line="240" w:lineRule="auto"/>
        <w:rPr>
          <w:szCs w:val="22"/>
          <w:lang w:val="en-US"/>
        </w:rPr>
      </w:pPr>
    </w:p>
    <w:p w14:paraId="7A0C2CCB" w14:textId="7C023465"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2A014C">
        <w:rPr>
          <w:szCs w:val="22"/>
        </w:rPr>
        <w:t>data</w:t>
      </w:r>
      <w:r w:rsidR="00B41F98">
        <w:rPr>
          <w:szCs w:val="22"/>
        </w:rPr>
        <w:t xml:space="preserve"> channel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0DD87E91" w14:textId="74590A82"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B41F98">
        <w:rPr>
          <w:rFonts w:ascii="Arial" w:hAnsi="Arial" w:cs="Arial"/>
          <w:lang w:val="en-US"/>
        </w:rPr>
        <w:t>NB-PD</w:t>
      </w:r>
      <w:r w:rsidR="002A014C">
        <w:rPr>
          <w:rFonts w:ascii="Arial" w:hAnsi="Arial" w:cs="Arial"/>
          <w:lang w:val="en-US"/>
        </w:rPr>
        <w:t>S</w:t>
      </w:r>
      <w:r w:rsidR="00B41F98">
        <w:rPr>
          <w:rFonts w:ascii="Arial" w:hAnsi="Arial" w:cs="Arial"/>
          <w:lang w:val="en-US"/>
        </w:rPr>
        <w:t>CH</w:t>
      </w:r>
    </w:p>
    <w:p w14:paraId="457C2970" w14:textId="6D17DE3D" w:rsidR="00337FF9" w:rsidRPr="002A014C" w:rsidRDefault="002A014C" w:rsidP="002A014C">
      <w:pPr>
        <w:pStyle w:val="LGTdoc1"/>
        <w:spacing w:beforeLines="0" w:before="120" w:after="220" w:afterAutospacing="0"/>
        <w:rPr>
          <w:b w:val="0"/>
          <w:sz w:val="22"/>
          <w:szCs w:val="22"/>
        </w:rPr>
      </w:pPr>
      <w:r w:rsidRPr="002A014C">
        <w:rPr>
          <w:b w:val="0"/>
          <w:sz w:val="22"/>
          <w:szCs w:val="22"/>
        </w:rPr>
        <w:t>Due to the requirements of NB-</w:t>
      </w:r>
      <w:proofErr w:type="spellStart"/>
      <w:r w:rsidRPr="002A014C">
        <w:rPr>
          <w:b w:val="0"/>
          <w:sz w:val="22"/>
          <w:szCs w:val="22"/>
        </w:rPr>
        <w:t>IoT</w:t>
      </w:r>
      <w:proofErr w:type="spellEnd"/>
      <w:r w:rsidRPr="002A014C">
        <w:rPr>
          <w:b w:val="0"/>
          <w:sz w:val="22"/>
          <w:szCs w:val="22"/>
        </w:rPr>
        <w:t xml:space="preserve"> (large coverage enhancement, </w:t>
      </w:r>
      <w:r>
        <w:rPr>
          <w:b w:val="0"/>
          <w:sz w:val="22"/>
          <w:szCs w:val="22"/>
        </w:rPr>
        <w:t xml:space="preserve">low complexity, </w:t>
      </w:r>
      <w:proofErr w:type="gramStart"/>
      <w:r>
        <w:rPr>
          <w:b w:val="0"/>
          <w:sz w:val="22"/>
          <w:szCs w:val="22"/>
        </w:rPr>
        <w:t>large</w:t>
      </w:r>
      <w:proofErr w:type="gramEnd"/>
      <w:r>
        <w:rPr>
          <w:b w:val="0"/>
          <w:sz w:val="22"/>
          <w:szCs w:val="22"/>
        </w:rPr>
        <w:t xml:space="preserve"> number of users…) some modifications have to be introduced with respect to the data channel in LTE and </w:t>
      </w:r>
      <w:proofErr w:type="spellStart"/>
      <w:r>
        <w:rPr>
          <w:b w:val="0"/>
          <w:sz w:val="22"/>
          <w:szCs w:val="22"/>
        </w:rPr>
        <w:t>eMTC</w:t>
      </w:r>
      <w:proofErr w:type="spellEnd"/>
      <w:r>
        <w:rPr>
          <w:b w:val="0"/>
          <w:sz w:val="22"/>
          <w:szCs w:val="22"/>
        </w:rPr>
        <w:t>. In the following, we present some of these design options</w:t>
      </w:r>
    </w:p>
    <w:p w14:paraId="32DCEB5E" w14:textId="05D7D2EF" w:rsidR="00551350" w:rsidRPr="00166F3A" w:rsidRDefault="00551350" w:rsidP="00551350">
      <w:pPr>
        <w:pStyle w:val="LGTdoc1"/>
        <w:numPr>
          <w:ilvl w:val="0"/>
          <w:numId w:val="37"/>
        </w:numPr>
        <w:spacing w:beforeLines="0" w:before="120" w:after="220" w:afterAutospacing="0"/>
        <w:rPr>
          <w:b w:val="0"/>
          <w:sz w:val="22"/>
          <w:szCs w:val="22"/>
          <w:u w:val="single"/>
        </w:rPr>
      </w:pPr>
      <w:r w:rsidRPr="00551350">
        <w:rPr>
          <w:b w:val="0"/>
          <w:sz w:val="22"/>
          <w:szCs w:val="22"/>
          <w:u w:val="single"/>
        </w:rPr>
        <w:t xml:space="preserve">Common design with </w:t>
      </w:r>
      <w:r w:rsidR="002A014C">
        <w:rPr>
          <w:b w:val="0"/>
          <w:sz w:val="22"/>
          <w:szCs w:val="22"/>
          <w:u w:val="single"/>
        </w:rPr>
        <w:t>NB-</w:t>
      </w:r>
      <w:r w:rsidRPr="00551350">
        <w:rPr>
          <w:b w:val="0"/>
          <w:sz w:val="22"/>
          <w:szCs w:val="22"/>
          <w:u w:val="single"/>
        </w:rPr>
        <w:t>PD</w:t>
      </w:r>
      <w:r w:rsidR="00F86EC2">
        <w:rPr>
          <w:b w:val="0"/>
          <w:sz w:val="22"/>
          <w:szCs w:val="22"/>
          <w:u w:val="single"/>
        </w:rPr>
        <w:t>C</w:t>
      </w:r>
      <w:r w:rsidR="002A014C">
        <w:rPr>
          <w:b w:val="0"/>
          <w:sz w:val="22"/>
          <w:szCs w:val="22"/>
          <w:u w:val="single"/>
        </w:rPr>
        <w:t>C</w:t>
      </w:r>
      <w:r w:rsidRPr="00551350">
        <w:rPr>
          <w:b w:val="0"/>
          <w:sz w:val="22"/>
          <w:szCs w:val="22"/>
          <w:u w:val="single"/>
        </w:rPr>
        <w:t>H:</w:t>
      </w:r>
      <w:r>
        <w:rPr>
          <w:b w:val="0"/>
          <w:sz w:val="22"/>
          <w:szCs w:val="22"/>
          <w:u w:val="single"/>
        </w:rPr>
        <w:t xml:space="preserve"> </w:t>
      </w:r>
      <w:r>
        <w:rPr>
          <w:b w:val="0"/>
          <w:sz w:val="22"/>
          <w:szCs w:val="22"/>
        </w:rPr>
        <w:t>Due to the low complexity requirements of NB-</w:t>
      </w:r>
      <w:proofErr w:type="spellStart"/>
      <w:r>
        <w:rPr>
          <w:b w:val="0"/>
          <w:sz w:val="22"/>
          <w:szCs w:val="22"/>
        </w:rPr>
        <w:t>IoT</w:t>
      </w:r>
      <w:proofErr w:type="spellEnd"/>
      <w:r>
        <w:rPr>
          <w:b w:val="0"/>
          <w:sz w:val="22"/>
          <w:szCs w:val="22"/>
        </w:rPr>
        <w:t xml:space="preserve">, it would be desirable for UEs to have to implement a single channel estimation and demodulation mode for PDSCH and NB-PDCCH. </w:t>
      </w:r>
      <w:r w:rsidR="00F86EC2">
        <w:rPr>
          <w:b w:val="0"/>
          <w:sz w:val="22"/>
          <w:szCs w:val="22"/>
        </w:rPr>
        <w:t>We</w:t>
      </w:r>
      <w:r>
        <w:rPr>
          <w:b w:val="0"/>
          <w:sz w:val="22"/>
          <w:szCs w:val="22"/>
        </w:rPr>
        <w:t xml:space="preserve"> propose to use a new cel</w:t>
      </w:r>
      <w:r w:rsidR="00337FF9">
        <w:rPr>
          <w:b w:val="0"/>
          <w:sz w:val="22"/>
          <w:szCs w:val="22"/>
        </w:rPr>
        <w:t xml:space="preserve">l-specific reference signal for tracking and </w:t>
      </w:r>
      <w:r>
        <w:rPr>
          <w:b w:val="0"/>
          <w:sz w:val="22"/>
          <w:szCs w:val="22"/>
        </w:rPr>
        <w:t xml:space="preserve">PDSCH demodulation. Note that </w:t>
      </w:r>
      <w:r w:rsidR="002A014C">
        <w:rPr>
          <w:b w:val="0"/>
          <w:sz w:val="22"/>
          <w:szCs w:val="22"/>
        </w:rPr>
        <w:t>adding additional signals for PDSCH demodulation (e.g. DMRS-like signals) would increase the UE complexity, cost and testing effort due to the need of implementing both transmission modes.</w:t>
      </w:r>
      <w:r w:rsidR="00166F3A">
        <w:rPr>
          <w:b w:val="0"/>
          <w:sz w:val="22"/>
          <w:szCs w:val="22"/>
        </w:rPr>
        <w:t xml:space="preserve"> </w:t>
      </w:r>
    </w:p>
    <w:p w14:paraId="5007817D" w14:textId="3607156A" w:rsidR="00166F3A" w:rsidRDefault="00166F3A" w:rsidP="00166F3A">
      <w:pPr>
        <w:pStyle w:val="LGTdoc1"/>
        <w:spacing w:beforeLines="0" w:before="120" w:after="220" w:afterAutospacing="0"/>
        <w:rPr>
          <w:b w:val="0"/>
          <w:sz w:val="22"/>
          <w:szCs w:val="22"/>
        </w:rPr>
      </w:pPr>
      <w:r w:rsidRPr="0052060A">
        <w:rPr>
          <w:sz w:val="22"/>
          <w:szCs w:val="22"/>
          <w:u w:val="single"/>
        </w:rPr>
        <w:t>Proposal 1:</w:t>
      </w:r>
      <w:r>
        <w:rPr>
          <w:b w:val="0"/>
          <w:sz w:val="22"/>
          <w:szCs w:val="22"/>
        </w:rPr>
        <w:t xml:space="preserve"> Consider having the same </w:t>
      </w:r>
      <w:r w:rsidR="00105A23">
        <w:rPr>
          <w:b w:val="0"/>
          <w:sz w:val="22"/>
          <w:szCs w:val="22"/>
        </w:rPr>
        <w:t xml:space="preserve">NB-RS </w:t>
      </w:r>
      <w:r>
        <w:rPr>
          <w:b w:val="0"/>
          <w:sz w:val="22"/>
          <w:szCs w:val="22"/>
        </w:rPr>
        <w:t xml:space="preserve">for </w:t>
      </w:r>
      <w:r w:rsidR="00F86EC2">
        <w:rPr>
          <w:b w:val="0"/>
          <w:sz w:val="22"/>
          <w:szCs w:val="22"/>
        </w:rPr>
        <w:t>NB-</w:t>
      </w:r>
      <w:r>
        <w:rPr>
          <w:b w:val="0"/>
          <w:sz w:val="22"/>
          <w:szCs w:val="22"/>
        </w:rPr>
        <w:t xml:space="preserve">PDSCH and NB-PDCCH. </w:t>
      </w:r>
    </w:p>
    <w:p w14:paraId="45F6E59A" w14:textId="2757691D" w:rsidR="00166F3A" w:rsidRPr="00F86EC2" w:rsidRDefault="00166F3A" w:rsidP="0098652F">
      <w:pPr>
        <w:pStyle w:val="LGTdoc1"/>
        <w:numPr>
          <w:ilvl w:val="0"/>
          <w:numId w:val="37"/>
        </w:numPr>
        <w:spacing w:beforeLines="0" w:before="120" w:after="220" w:afterAutospacing="0"/>
        <w:rPr>
          <w:b w:val="0"/>
          <w:sz w:val="22"/>
          <w:szCs w:val="22"/>
          <w:u w:val="single"/>
        </w:rPr>
      </w:pPr>
      <w:r w:rsidRPr="00F86EC2">
        <w:rPr>
          <w:b w:val="0"/>
          <w:sz w:val="22"/>
          <w:szCs w:val="22"/>
          <w:u w:val="single"/>
        </w:rPr>
        <w:t>Multiplexing of multiple UE</w:t>
      </w:r>
      <w:r w:rsidR="00820EE8" w:rsidRPr="00F86EC2">
        <w:rPr>
          <w:b w:val="0"/>
          <w:sz w:val="22"/>
          <w:szCs w:val="22"/>
          <w:u w:val="single"/>
        </w:rPr>
        <w:t xml:space="preserve"> and channels</w:t>
      </w:r>
      <w:r w:rsidRPr="00F86EC2">
        <w:rPr>
          <w:b w:val="0"/>
          <w:sz w:val="22"/>
          <w:szCs w:val="22"/>
          <w:u w:val="single"/>
        </w:rPr>
        <w:t xml:space="preserve">: </w:t>
      </w:r>
      <w:r w:rsidR="00820EE8" w:rsidRPr="00F86EC2">
        <w:rPr>
          <w:b w:val="0"/>
          <w:sz w:val="22"/>
          <w:szCs w:val="22"/>
        </w:rPr>
        <w:t>The PDSCH resource allocation</w:t>
      </w:r>
      <w:r w:rsidR="00EF77D3" w:rsidRPr="00F86EC2">
        <w:rPr>
          <w:b w:val="0"/>
          <w:sz w:val="22"/>
          <w:szCs w:val="22"/>
        </w:rPr>
        <w:t xml:space="preserve"> has to be flexible enough to multiplex multiple UE simultaneously (to reduce the delay) and to be multiplexed with the control channel due to the long repetitions expected for both channels (to be able to schedule uplink while the PDSCH is being transmitted). To do this, the resource allocation unit has to be less than 1RB. To enable successful multiplexing of control and data, both channels should use the same resource allocation unit for both channels. We propose to </w:t>
      </w:r>
      <w:r w:rsidR="00F86EC2" w:rsidRPr="00F86EC2">
        <w:rPr>
          <w:b w:val="0"/>
          <w:sz w:val="22"/>
          <w:szCs w:val="22"/>
        </w:rPr>
        <w:t xml:space="preserve">reuse the PDCCH CCE as resource </w:t>
      </w:r>
      <w:r w:rsidR="00F86EC2" w:rsidRPr="00F86EC2">
        <w:rPr>
          <w:b w:val="0"/>
          <w:sz w:val="22"/>
          <w:szCs w:val="22"/>
        </w:rPr>
        <w:lastRenderedPageBreak/>
        <w:t>allocation unit for PDSCH</w:t>
      </w:r>
      <w:r w:rsidR="00F86EC2">
        <w:rPr>
          <w:b w:val="0"/>
          <w:sz w:val="22"/>
          <w:szCs w:val="22"/>
        </w:rPr>
        <w:t xml:space="preserve"> (e.g., a UE can be allocated 1 o 2 CCE in a </w:t>
      </w:r>
      <w:proofErr w:type="spellStart"/>
      <w:r w:rsidR="00F86EC2">
        <w:rPr>
          <w:b w:val="0"/>
          <w:sz w:val="22"/>
          <w:szCs w:val="22"/>
        </w:rPr>
        <w:t>subframe</w:t>
      </w:r>
      <w:proofErr w:type="spellEnd"/>
      <w:r w:rsidR="00F86EC2">
        <w:rPr>
          <w:b w:val="0"/>
          <w:sz w:val="22"/>
          <w:szCs w:val="22"/>
        </w:rPr>
        <w:t xml:space="preserve"> for PDSCH)</w:t>
      </w:r>
      <w:r w:rsidR="00F86EC2" w:rsidRPr="00F86EC2">
        <w:rPr>
          <w:b w:val="0"/>
          <w:sz w:val="22"/>
          <w:szCs w:val="22"/>
        </w:rPr>
        <w:t>.</w:t>
      </w:r>
      <w:r w:rsidR="00F86EC2">
        <w:rPr>
          <w:b w:val="0"/>
          <w:sz w:val="22"/>
          <w:szCs w:val="22"/>
        </w:rPr>
        <w:t xml:space="preserve"> </w:t>
      </w:r>
      <w:r w:rsidR="00EF77D3" w:rsidRPr="00F86EC2">
        <w:rPr>
          <w:b w:val="0"/>
          <w:sz w:val="22"/>
          <w:szCs w:val="22"/>
        </w:rPr>
        <w:t>The multiplexing between data and control</w:t>
      </w:r>
      <w:r w:rsidRPr="00F86EC2">
        <w:rPr>
          <w:b w:val="0"/>
          <w:sz w:val="22"/>
          <w:szCs w:val="22"/>
        </w:rPr>
        <w:t xml:space="preserve"> can be semi-statically configured (e.g. in SIB) or can be dynamically indicated in the DCI: a UE would blindly decode NB-PDCCH in some </w:t>
      </w:r>
      <w:r w:rsidR="00F86EC2">
        <w:rPr>
          <w:b w:val="0"/>
          <w:sz w:val="22"/>
          <w:szCs w:val="22"/>
        </w:rPr>
        <w:t>CCE</w:t>
      </w:r>
      <w:r w:rsidRPr="00F86EC2">
        <w:rPr>
          <w:b w:val="0"/>
          <w:sz w:val="22"/>
          <w:szCs w:val="22"/>
        </w:rPr>
        <w:t>, and will receive an indication in the DCI of the REG to be used for PDSCH.</w:t>
      </w:r>
    </w:p>
    <w:p w14:paraId="2BD31BDD" w14:textId="55FFF6C3" w:rsidR="00166F3A" w:rsidRDefault="00166F3A" w:rsidP="00166F3A">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sidR="00AA537F">
        <w:rPr>
          <w:b w:val="0"/>
          <w:sz w:val="22"/>
          <w:szCs w:val="22"/>
        </w:rPr>
        <w:t>Allow multiplexing of multiple channels in 1RB, e.g. multiplexing of multiple PDSCH transmissions, and multiplexing of NB-PDCCH and PDSCH.</w:t>
      </w:r>
    </w:p>
    <w:p w14:paraId="6723F143" w14:textId="6D4094DA" w:rsidR="00820EE8" w:rsidRDefault="00EF77D3" w:rsidP="00EF77D3">
      <w:pPr>
        <w:pStyle w:val="LGTdoc1"/>
        <w:numPr>
          <w:ilvl w:val="0"/>
          <w:numId w:val="37"/>
        </w:numPr>
        <w:spacing w:beforeLines="0" w:before="120" w:after="220" w:afterAutospacing="0"/>
        <w:rPr>
          <w:b w:val="0"/>
          <w:sz w:val="22"/>
          <w:szCs w:val="22"/>
        </w:rPr>
      </w:pPr>
      <w:r w:rsidRPr="00EF77D3">
        <w:rPr>
          <w:b w:val="0"/>
          <w:sz w:val="22"/>
          <w:szCs w:val="22"/>
          <w:u w:val="single"/>
        </w:rPr>
        <w:t>Large transport block sizes:</w:t>
      </w:r>
      <w:r>
        <w:rPr>
          <w:b w:val="0"/>
          <w:sz w:val="22"/>
          <w:szCs w:val="22"/>
        </w:rPr>
        <w:t xml:space="preserve"> The reduced number of RE available for NB-</w:t>
      </w:r>
      <w:proofErr w:type="spellStart"/>
      <w:r>
        <w:rPr>
          <w:b w:val="0"/>
          <w:sz w:val="22"/>
          <w:szCs w:val="22"/>
        </w:rPr>
        <w:t>IoT</w:t>
      </w:r>
      <w:proofErr w:type="spellEnd"/>
      <w:r>
        <w:rPr>
          <w:b w:val="0"/>
          <w:sz w:val="22"/>
          <w:szCs w:val="22"/>
        </w:rPr>
        <w:t>, especially for in-band deployments, would create a very tight limit on the transport block size that can be transmitted over PDSCH. This has the problem of large overhead (CRC and associated NB-PDCCH), which is not desirable. We propose to introduce cross-</w:t>
      </w:r>
      <w:proofErr w:type="spellStart"/>
      <w:r>
        <w:rPr>
          <w:b w:val="0"/>
          <w:sz w:val="22"/>
          <w:szCs w:val="22"/>
        </w:rPr>
        <w:t>subframe</w:t>
      </w:r>
      <w:proofErr w:type="spellEnd"/>
      <w:r>
        <w:rPr>
          <w:b w:val="0"/>
          <w:sz w:val="22"/>
          <w:szCs w:val="22"/>
        </w:rPr>
        <w:t xml:space="preserve"> coding by the introduction of new redundancy versions (RV). For example, following legacy LTE, only four RV are transmitted even when the number of repetitions is large (e.g. 128 repetitions). This number should be increased in NB-</w:t>
      </w:r>
      <w:proofErr w:type="spellStart"/>
      <w:r>
        <w:rPr>
          <w:b w:val="0"/>
          <w:sz w:val="22"/>
          <w:szCs w:val="22"/>
        </w:rPr>
        <w:t>IoT</w:t>
      </w:r>
      <w:proofErr w:type="spellEnd"/>
      <w:r>
        <w:rPr>
          <w:b w:val="0"/>
          <w:sz w:val="22"/>
          <w:szCs w:val="22"/>
        </w:rPr>
        <w:t xml:space="preserve"> to accommodate the transmission of large transport blocks. </w:t>
      </w:r>
    </w:p>
    <w:p w14:paraId="2D13CFDB" w14:textId="1D231CA7" w:rsidR="00820EE8" w:rsidRDefault="00820EE8" w:rsidP="00820EE8">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 xml:space="preserve">Enable </w:t>
      </w:r>
      <w:r w:rsidR="006A102C">
        <w:rPr>
          <w:b w:val="0"/>
          <w:sz w:val="22"/>
          <w:szCs w:val="22"/>
        </w:rPr>
        <w:t xml:space="preserve">transmission of large transport blocks by applying </w:t>
      </w:r>
      <w:r>
        <w:rPr>
          <w:b w:val="0"/>
          <w:sz w:val="22"/>
          <w:szCs w:val="22"/>
        </w:rPr>
        <w:t>cross-</w:t>
      </w:r>
      <w:proofErr w:type="spellStart"/>
      <w:r>
        <w:rPr>
          <w:b w:val="0"/>
          <w:sz w:val="22"/>
          <w:szCs w:val="22"/>
        </w:rPr>
        <w:t>subframe</w:t>
      </w:r>
      <w:proofErr w:type="spellEnd"/>
      <w:r>
        <w:rPr>
          <w:b w:val="0"/>
          <w:sz w:val="22"/>
          <w:szCs w:val="22"/>
        </w:rPr>
        <w:t xml:space="preserve"> </w:t>
      </w:r>
      <w:r w:rsidR="00F86EC2">
        <w:rPr>
          <w:b w:val="0"/>
          <w:sz w:val="22"/>
          <w:szCs w:val="22"/>
        </w:rPr>
        <w:t>coding.</w:t>
      </w:r>
    </w:p>
    <w:p w14:paraId="4016221C" w14:textId="77777777" w:rsidR="00CC70E6" w:rsidRDefault="00CC70E6" w:rsidP="00820EE8">
      <w:pPr>
        <w:pStyle w:val="LGTdoc1"/>
        <w:spacing w:beforeLines="0" w:before="120" w:after="220" w:afterAutospacing="0"/>
        <w:rPr>
          <w:b w:val="0"/>
          <w:sz w:val="22"/>
          <w:szCs w:val="22"/>
        </w:rPr>
      </w:pPr>
    </w:p>
    <w:p w14:paraId="52F47C5F" w14:textId="73405178" w:rsidR="00F86EC2" w:rsidRDefault="00F86EC2" w:rsidP="00F86EC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Transmission details for in-band with 4 </w:t>
      </w:r>
      <w:proofErr w:type="spellStart"/>
      <w:r>
        <w:rPr>
          <w:rFonts w:ascii="Arial" w:hAnsi="Arial" w:cs="Arial"/>
          <w:lang w:val="en-US"/>
        </w:rPr>
        <w:t>Tx</w:t>
      </w:r>
      <w:proofErr w:type="spellEnd"/>
      <w:r>
        <w:rPr>
          <w:rFonts w:ascii="Arial" w:hAnsi="Arial" w:cs="Arial"/>
          <w:lang w:val="en-US"/>
        </w:rPr>
        <w:t xml:space="preserve"> antennas</w:t>
      </w:r>
    </w:p>
    <w:p w14:paraId="301D688A" w14:textId="68C7FEEF" w:rsidR="00F86EC2" w:rsidRDefault="00DC60AA" w:rsidP="00F86EC2">
      <w:pPr>
        <w:pStyle w:val="LGTdoc1"/>
        <w:spacing w:beforeLines="0" w:before="120" w:after="220" w:afterAutospacing="0"/>
        <w:rPr>
          <w:b w:val="0"/>
          <w:sz w:val="22"/>
          <w:szCs w:val="22"/>
        </w:rPr>
      </w:pPr>
      <w:r>
        <w:rPr>
          <w:b w:val="0"/>
          <w:sz w:val="22"/>
          <w:szCs w:val="22"/>
        </w:rPr>
        <w:t>NB-</w:t>
      </w:r>
      <w:proofErr w:type="spellStart"/>
      <w:r>
        <w:rPr>
          <w:b w:val="0"/>
          <w:sz w:val="22"/>
          <w:szCs w:val="22"/>
        </w:rPr>
        <w:t>IoT</w:t>
      </w:r>
      <w:proofErr w:type="spellEnd"/>
      <w:r>
        <w:rPr>
          <w:b w:val="0"/>
          <w:sz w:val="22"/>
          <w:szCs w:val="22"/>
        </w:rPr>
        <w:t xml:space="preserve"> supports transmission with up to 2 antenna ports with SFBC. For in-band deployment, the </w:t>
      </w:r>
      <w:proofErr w:type="spellStart"/>
      <w:r>
        <w:rPr>
          <w:b w:val="0"/>
          <w:sz w:val="22"/>
          <w:szCs w:val="22"/>
        </w:rPr>
        <w:t>eNB</w:t>
      </w:r>
      <w:proofErr w:type="spellEnd"/>
      <w:r>
        <w:rPr>
          <w:b w:val="0"/>
          <w:sz w:val="22"/>
          <w:szCs w:val="22"/>
        </w:rPr>
        <w:t xml:space="preserve"> might have 4Tx antennas. In order to transmit with full power, the 4 physical antennas have to be mapped to two antenna ports. If CRS is to be used together with NB-CRS for demodulation of downlink physical channels, then this mapping has to be known by the UE to combine the channel estimates. An example of antenna virtualization is shown in Figure 1.</w:t>
      </w:r>
    </w:p>
    <w:p w14:paraId="220E3170" w14:textId="77777777" w:rsidR="00DC60AA" w:rsidRDefault="00DC60AA" w:rsidP="00DC60AA">
      <w:pPr>
        <w:pStyle w:val="LGTdoc1"/>
        <w:keepNext/>
        <w:spacing w:beforeLines="0" w:before="120" w:after="220" w:afterAutospacing="0"/>
        <w:jc w:val="center"/>
      </w:pPr>
      <w:r>
        <w:rPr>
          <w:rFonts w:ascii="Batang" w:hint="eastAsia"/>
          <w:kern w:val="2"/>
          <w:sz w:val="22"/>
          <w:szCs w:val="22"/>
          <w:lang w:val="en-US"/>
        </w:rPr>
        <w:object w:dxaOrig="5850" w:dyaOrig="6900" w14:anchorId="14640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45pt" o:ole="">
            <v:imagedata r:id="rId14" o:title=""/>
          </v:shape>
          <o:OLEObject Type="Embed" ProgID="Visio.Drawing.11" ShapeID="_x0000_i1025" DrawAspect="Content" ObjectID="_1516204404" r:id="rId15"/>
        </w:object>
      </w:r>
    </w:p>
    <w:p w14:paraId="3C1E6E09" w14:textId="32F47F64" w:rsidR="00DC60AA" w:rsidRDefault="00DC60AA" w:rsidP="00DC60AA">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Virtualization from CRS ports to NB-CRS ports.</w:t>
      </w:r>
    </w:p>
    <w:p w14:paraId="2DF70785" w14:textId="77777777" w:rsidR="00DC60AA" w:rsidRDefault="00DC60AA" w:rsidP="00F86EC2">
      <w:pPr>
        <w:pStyle w:val="LGTdoc1"/>
        <w:spacing w:beforeLines="0" w:before="120" w:after="220" w:afterAutospacing="0"/>
        <w:rPr>
          <w:b w:val="0"/>
          <w:sz w:val="22"/>
          <w:szCs w:val="22"/>
        </w:rPr>
      </w:pPr>
    </w:p>
    <w:p w14:paraId="1E0B2696" w14:textId="148790F3" w:rsidR="00DC60AA" w:rsidRPr="00DC60AA" w:rsidRDefault="00DC60AA" w:rsidP="00F86EC2">
      <w:pPr>
        <w:pStyle w:val="LGTdoc1"/>
        <w:spacing w:beforeLines="0" w:before="120" w:after="220" w:afterAutospacing="0"/>
        <w:rPr>
          <w:rFonts w:ascii="Arial" w:hAnsi="Arial" w:cs="Arial"/>
          <w:u w:val="single"/>
          <w:lang w:val="en-US"/>
        </w:rPr>
      </w:pPr>
      <w:r w:rsidRPr="00DC60AA">
        <w:rPr>
          <w:sz w:val="22"/>
          <w:szCs w:val="22"/>
          <w:u w:val="single"/>
        </w:rPr>
        <w:t>Proposal 4:</w:t>
      </w:r>
      <w:r>
        <w:rPr>
          <w:sz w:val="22"/>
          <w:szCs w:val="22"/>
        </w:rPr>
        <w:t xml:space="preserve"> </w:t>
      </w:r>
      <w:r>
        <w:rPr>
          <w:b w:val="0"/>
          <w:sz w:val="22"/>
          <w:szCs w:val="22"/>
        </w:rPr>
        <w:t>Apply antenna virtualization to map 4 physical transmit antennas to 2 antenna ports for PDSCH transmission.</w:t>
      </w:r>
    </w:p>
    <w:p w14:paraId="6874DFBC" w14:textId="77777777" w:rsidR="00337FF9" w:rsidRPr="00337FF9" w:rsidRDefault="00337FF9" w:rsidP="00337FF9">
      <w:pPr>
        <w:pStyle w:val="LGTdoc0"/>
        <w:spacing w:afterLines="0" w:after="120" w:line="240" w:lineRule="auto"/>
        <w:ind w:left="720"/>
        <w:rPr>
          <w:szCs w:val="22"/>
        </w:rPr>
      </w:pPr>
    </w:p>
    <w:p w14:paraId="66B813EC" w14:textId="77777777" w:rsidR="00551350" w:rsidRDefault="00551350" w:rsidP="0055135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Control-less downlink data transmission</w:t>
      </w:r>
    </w:p>
    <w:p w14:paraId="3EE142C4" w14:textId="77777777" w:rsidR="002E5464" w:rsidRDefault="00337FF9" w:rsidP="0052060A">
      <w:pPr>
        <w:pStyle w:val="LGTdoc1"/>
        <w:spacing w:beforeLines="0" w:before="120" w:after="220" w:afterAutospacing="0"/>
        <w:rPr>
          <w:b w:val="0"/>
          <w:sz w:val="22"/>
          <w:szCs w:val="22"/>
        </w:rPr>
      </w:pPr>
      <w:r>
        <w:rPr>
          <w:b w:val="0"/>
          <w:sz w:val="22"/>
          <w:szCs w:val="22"/>
        </w:rPr>
        <w:t xml:space="preserve">For </w:t>
      </w:r>
      <w:proofErr w:type="spellStart"/>
      <w:r>
        <w:rPr>
          <w:b w:val="0"/>
          <w:sz w:val="22"/>
          <w:szCs w:val="22"/>
        </w:rPr>
        <w:t>IoT</w:t>
      </w:r>
      <w:proofErr w:type="spellEnd"/>
      <w:r>
        <w:rPr>
          <w:b w:val="0"/>
          <w:sz w:val="22"/>
          <w:szCs w:val="22"/>
        </w:rPr>
        <w:t xml:space="preserve"> applications the data transmission usually contains a small number of bytes (e.g. alarm information, measurement, or some short commands). Thus, transmitting a control channel associated with a short data packet might incur in a very large overhead. It is desirable to have the possibility of transmitting a data packet without any control associated with it. Also, note that it is agreed to use TBCC for all downlink channels, so the data and control channels are sharing the coding scheme.</w:t>
      </w:r>
    </w:p>
    <w:p w14:paraId="62CB209C" w14:textId="77777777" w:rsidR="00337FF9" w:rsidRDefault="00337FF9" w:rsidP="0052060A">
      <w:pPr>
        <w:pStyle w:val="LGTdoc1"/>
        <w:spacing w:beforeLines="0" w:before="120" w:after="220" w:afterAutospacing="0"/>
        <w:rPr>
          <w:b w:val="0"/>
          <w:sz w:val="22"/>
          <w:szCs w:val="22"/>
        </w:rPr>
      </w:pPr>
      <w:r>
        <w:rPr>
          <w:b w:val="0"/>
          <w:sz w:val="22"/>
          <w:szCs w:val="22"/>
        </w:rPr>
        <w:t xml:space="preserve">In order to achieve this control-less data transmission effectively and with a reasonable complexity, some constraints have to be introduced in the data transmission. </w:t>
      </w:r>
    </w:p>
    <w:p w14:paraId="25AEDE7C"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 xml:space="preserve">Keep transport block to have same size as DCI: A UE would monitor a single payload size (otherwise the UE would need to perform additional blind </w:t>
      </w:r>
      <w:proofErr w:type="spellStart"/>
      <w:r>
        <w:rPr>
          <w:b w:val="0"/>
          <w:sz w:val="22"/>
          <w:szCs w:val="22"/>
        </w:rPr>
        <w:t>decodings</w:t>
      </w:r>
      <w:proofErr w:type="spellEnd"/>
      <w:r>
        <w:rPr>
          <w:b w:val="0"/>
          <w:sz w:val="22"/>
          <w:szCs w:val="22"/>
        </w:rPr>
        <w:t>). Data and control can be differentiated by having a different redundancy check (e.g. data having a CRC of different size, or same size but different RNTI).</w:t>
      </w:r>
    </w:p>
    <w:p w14:paraId="4099FE68"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Reduced MAC header: Some fields, like logical channel ID, reserved, etc. can be removed from the MAC header to reduce the overhead of data transmitted over NB-PDCCH.</w:t>
      </w:r>
    </w:p>
    <w:p w14:paraId="6EC1C0EF" w14:textId="270EC838" w:rsidR="00337FF9" w:rsidRDefault="00337FF9" w:rsidP="00337FF9">
      <w:pPr>
        <w:pStyle w:val="LGTdoc1"/>
        <w:spacing w:beforeLines="0" w:before="120" w:after="220" w:afterAutospacing="0"/>
        <w:rPr>
          <w:b w:val="0"/>
          <w:sz w:val="22"/>
          <w:szCs w:val="22"/>
        </w:rPr>
      </w:pPr>
      <w:r w:rsidRPr="0052060A">
        <w:rPr>
          <w:sz w:val="22"/>
          <w:szCs w:val="22"/>
          <w:u w:val="single"/>
        </w:rPr>
        <w:t xml:space="preserve">Proposal </w:t>
      </w:r>
      <w:r w:rsidR="00DC60AA">
        <w:rPr>
          <w:sz w:val="22"/>
          <w:szCs w:val="22"/>
          <w:u w:val="single"/>
        </w:rPr>
        <w:t>5</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1A1372E8" w14:textId="77777777" w:rsidR="00337FF9" w:rsidRDefault="00337FF9" w:rsidP="00337FF9">
      <w:pPr>
        <w:pStyle w:val="LGTdoc1"/>
        <w:spacing w:beforeLines="0" w:before="120" w:after="220" w:afterAutospacing="0"/>
        <w:rPr>
          <w:b w:val="0"/>
          <w:sz w:val="22"/>
          <w:szCs w:val="22"/>
        </w:rPr>
      </w:pPr>
    </w:p>
    <w:p w14:paraId="3CB32F0F" w14:textId="573A4DD0" w:rsidR="00040435" w:rsidRDefault="00722937" w:rsidP="0004043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Conclusion</w:t>
      </w:r>
    </w:p>
    <w:bookmarkEnd w:id="0"/>
    <w:bookmarkEnd w:id="1"/>
    <w:p w14:paraId="2AFF9618" w14:textId="3FC34EDD" w:rsidR="00511960" w:rsidRDefault="00511960" w:rsidP="00511960">
      <w:pPr>
        <w:pStyle w:val="LGTdoc1"/>
        <w:spacing w:beforeLines="0" w:before="120" w:after="220" w:afterAutospacing="0"/>
        <w:rPr>
          <w:b w:val="0"/>
          <w:sz w:val="22"/>
          <w:szCs w:val="22"/>
        </w:rPr>
      </w:pPr>
      <w:r w:rsidRPr="0052060A">
        <w:rPr>
          <w:sz w:val="22"/>
          <w:szCs w:val="22"/>
          <w:u w:val="single"/>
        </w:rPr>
        <w:t>Proposal 1:</w:t>
      </w:r>
      <w:r>
        <w:rPr>
          <w:b w:val="0"/>
          <w:sz w:val="22"/>
          <w:szCs w:val="22"/>
        </w:rPr>
        <w:t xml:space="preserve"> Consider having the same </w:t>
      </w:r>
      <w:r w:rsidR="00105A23">
        <w:rPr>
          <w:b w:val="0"/>
          <w:sz w:val="22"/>
          <w:szCs w:val="22"/>
        </w:rPr>
        <w:t>NB-RS</w:t>
      </w:r>
      <w:r>
        <w:rPr>
          <w:b w:val="0"/>
          <w:sz w:val="22"/>
          <w:szCs w:val="22"/>
        </w:rPr>
        <w:t xml:space="preserve"> for NB-PDSCH and NB-PDCCH</w:t>
      </w:r>
      <w:r w:rsidR="00105A23">
        <w:rPr>
          <w:b w:val="0"/>
          <w:sz w:val="22"/>
          <w:szCs w:val="22"/>
        </w:rPr>
        <w:t>.</w:t>
      </w:r>
      <w:r>
        <w:rPr>
          <w:b w:val="0"/>
          <w:sz w:val="22"/>
          <w:szCs w:val="22"/>
        </w:rPr>
        <w:t xml:space="preserve"> </w:t>
      </w:r>
    </w:p>
    <w:p w14:paraId="241C711E" w14:textId="77777777" w:rsidR="00511960" w:rsidRDefault="00511960" w:rsidP="00511960">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Pr>
          <w:b w:val="0"/>
          <w:sz w:val="22"/>
          <w:szCs w:val="22"/>
        </w:rPr>
        <w:t>Allow multiplexing of multiple channels in 1RB, e.g. multiplexing of multiple PDSCH transmissions, and multiplexing of NB-PDCCH and PDSCH.</w:t>
      </w:r>
    </w:p>
    <w:p w14:paraId="25335C6C" w14:textId="77777777" w:rsidR="00511960" w:rsidRDefault="00511960" w:rsidP="00511960">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Enable transmission of large transport blocks by applying cross-</w:t>
      </w:r>
      <w:proofErr w:type="spellStart"/>
      <w:r>
        <w:rPr>
          <w:b w:val="0"/>
          <w:sz w:val="22"/>
          <w:szCs w:val="22"/>
        </w:rPr>
        <w:t>subframe</w:t>
      </w:r>
      <w:proofErr w:type="spellEnd"/>
      <w:r>
        <w:rPr>
          <w:b w:val="0"/>
          <w:sz w:val="22"/>
          <w:szCs w:val="22"/>
        </w:rPr>
        <w:t xml:space="preserve"> coding.</w:t>
      </w:r>
    </w:p>
    <w:p w14:paraId="7D8A0689" w14:textId="77777777" w:rsidR="00511960" w:rsidRPr="00DC60AA" w:rsidRDefault="00511960" w:rsidP="00511960">
      <w:pPr>
        <w:pStyle w:val="LGTdoc1"/>
        <w:spacing w:beforeLines="0" w:before="120" w:after="220" w:afterAutospacing="0"/>
        <w:rPr>
          <w:rFonts w:ascii="Arial" w:hAnsi="Arial" w:cs="Arial"/>
          <w:u w:val="single"/>
          <w:lang w:val="en-US"/>
        </w:rPr>
      </w:pPr>
      <w:r w:rsidRPr="00DC60AA">
        <w:rPr>
          <w:sz w:val="22"/>
          <w:szCs w:val="22"/>
          <w:u w:val="single"/>
        </w:rPr>
        <w:t>Proposal 4:</w:t>
      </w:r>
      <w:r>
        <w:rPr>
          <w:sz w:val="22"/>
          <w:szCs w:val="22"/>
        </w:rPr>
        <w:t xml:space="preserve"> </w:t>
      </w:r>
      <w:r>
        <w:rPr>
          <w:b w:val="0"/>
          <w:sz w:val="22"/>
          <w:szCs w:val="22"/>
        </w:rPr>
        <w:t>Apply antenna virtualization to map 4 physical transmit antennas to 2 antenna ports for PDSCH transmission.</w:t>
      </w:r>
    </w:p>
    <w:p w14:paraId="4F2527ED" w14:textId="77777777" w:rsidR="00511960" w:rsidRDefault="00511960" w:rsidP="00511960">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5</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3E34B2C0" w14:textId="77777777" w:rsidR="001D4A55" w:rsidRPr="00511960" w:rsidRDefault="001D4A55" w:rsidP="0052060A">
      <w:pPr>
        <w:pStyle w:val="LGTdoc1"/>
        <w:spacing w:beforeLines="0" w:before="120" w:after="220" w:afterAutospacing="0"/>
        <w:rPr>
          <w:b w:val="0"/>
          <w:sz w:val="22"/>
          <w:szCs w:val="22"/>
        </w:rPr>
      </w:pPr>
      <w:bookmarkStart w:id="4" w:name="_GoBack"/>
      <w:bookmarkEnd w:id="4"/>
    </w:p>
    <w:sectPr w:rsidR="001D4A55" w:rsidRPr="00511960"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83147" w14:textId="77777777" w:rsidR="00A83F79" w:rsidRDefault="00A83F79">
      <w:r>
        <w:separator/>
      </w:r>
    </w:p>
  </w:endnote>
  <w:endnote w:type="continuationSeparator" w:id="0">
    <w:p w14:paraId="2DB9FFC1" w14:textId="77777777" w:rsidR="00A83F79" w:rsidRDefault="00A83F79">
      <w:r>
        <w:continuationSeparator/>
      </w:r>
    </w:p>
  </w:endnote>
  <w:endnote w:type="continuationNotice" w:id="1">
    <w:p w14:paraId="247B1ABD" w14:textId="77777777" w:rsidR="00A83F79" w:rsidRDefault="00A83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F27DC">
      <w:rPr>
        <w:rStyle w:val="PageNumber"/>
        <w:noProof/>
      </w:rPr>
      <w:t>3</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F8A62" w14:textId="77777777" w:rsidR="00A83F79" w:rsidRDefault="00A83F79">
      <w:r>
        <w:separator/>
      </w:r>
    </w:p>
  </w:footnote>
  <w:footnote w:type="continuationSeparator" w:id="0">
    <w:p w14:paraId="1DB1BC7E" w14:textId="77777777" w:rsidR="00A83F79" w:rsidRDefault="00A83F79">
      <w:r>
        <w:continuationSeparator/>
      </w:r>
    </w:p>
  </w:footnote>
  <w:footnote w:type="continuationNotice" w:id="1">
    <w:p w14:paraId="73C3B1E0" w14:textId="77777777" w:rsidR="00A83F79" w:rsidRDefault="00A83F7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F5A64"/>
    <w:multiLevelType w:val="hybridMultilevel"/>
    <w:tmpl w:val="FE64DEF4"/>
    <w:lvl w:ilvl="0" w:tplc="BAEA2544">
      <w:start w:val="1"/>
      <w:numFmt w:val="bullet"/>
      <w:lvlText w:val="•"/>
      <w:lvlJc w:val="left"/>
      <w:pPr>
        <w:tabs>
          <w:tab w:val="num" w:pos="1120"/>
        </w:tabs>
        <w:ind w:left="1120" w:hanging="360"/>
      </w:pPr>
      <w:rPr>
        <w:rFonts w:ascii="Arial" w:hAnsi="Arial" w:cs="Times New Roman" w:hint="default"/>
      </w:rPr>
    </w:lvl>
    <w:lvl w:ilvl="1" w:tplc="2B7CA200">
      <w:start w:val="2041"/>
      <w:numFmt w:val="bullet"/>
      <w:lvlText w:val="–"/>
      <w:lvlJc w:val="left"/>
      <w:pPr>
        <w:tabs>
          <w:tab w:val="num" w:pos="1840"/>
        </w:tabs>
        <w:ind w:left="1840" w:hanging="360"/>
      </w:pPr>
      <w:rPr>
        <w:rFonts w:ascii="Arial" w:hAnsi="Arial" w:cs="Times New Roman" w:hint="default"/>
      </w:rPr>
    </w:lvl>
    <w:lvl w:ilvl="2" w:tplc="50F8AABC">
      <w:start w:val="1"/>
      <w:numFmt w:val="bullet"/>
      <w:lvlText w:val="•"/>
      <w:lvlJc w:val="left"/>
      <w:pPr>
        <w:tabs>
          <w:tab w:val="num" w:pos="2560"/>
        </w:tabs>
        <w:ind w:left="2560" w:hanging="360"/>
      </w:pPr>
      <w:rPr>
        <w:rFonts w:ascii="Arial" w:hAnsi="Arial" w:cs="Times New Roman" w:hint="default"/>
      </w:rPr>
    </w:lvl>
    <w:lvl w:ilvl="3" w:tplc="5C8A9A6A">
      <w:start w:val="1"/>
      <w:numFmt w:val="bullet"/>
      <w:lvlText w:val="•"/>
      <w:lvlJc w:val="left"/>
      <w:pPr>
        <w:tabs>
          <w:tab w:val="num" w:pos="3280"/>
        </w:tabs>
        <w:ind w:left="3280" w:hanging="360"/>
      </w:pPr>
      <w:rPr>
        <w:rFonts w:ascii="Arial" w:hAnsi="Arial" w:cs="Times New Roman" w:hint="default"/>
      </w:rPr>
    </w:lvl>
    <w:lvl w:ilvl="4" w:tplc="5C72ECEE">
      <w:start w:val="1"/>
      <w:numFmt w:val="bullet"/>
      <w:lvlText w:val="•"/>
      <w:lvlJc w:val="left"/>
      <w:pPr>
        <w:tabs>
          <w:tab w:val="num" w:pos="4000"/>
        </w:tabs>
        <w:ind w:left="4000" w:hanging="360"/>
      </w:pPr>
      <w:rPr>
        <w:rFonts w:ascii="Arial" w:hAnsi="Arial" w:cs="Times New Roman" w:hint="default"/>
      </w:rPr>
    </w:lvl>
    <w:lvl w:ilvl="5" w:tplc="0E82E782">
      <w:start w:val="1"/>
      <w:numFmt w:val="bullet"/>
      <w:lvlText w:val="•"/>
      <w:lvlJc w:val="left"/>
      <w:pPr>
        <w:tabs>
          <w:tab w:val="num" w:pos="4720"/>
        </w:tabs>
        <w:ind w:left="4720" w:hanging="360"/>
      </w:pPr>
      <w:rPr>
        <w:rFonts w:ascii="Arial" w:hAnsi="Arial" w:cs="Times New Roman" w:hint="default"/>
      </w:rPr>
    </w:lvl>
    <w:lvl w:ilvl="6" w:tplc="2BF49FD4">
      <w:start w:val="1"/>
      <w:numFmt w:val="bullet"/>
      <w:lvlText w:val="•"/>
      <w:lvlJc w:val="left"/>
      <w:pPr>
        <w:tabs>
          <w:tab w:val="num" w:pos="5440"/>
        </w:tabs>
        <w:ind w:left="5440" w:hanging="360"/>
      </w:pPr>
      <w:rPr>
        <w:rFonts w:ascii="Arial" w:hAnsi="Arial" w:cs="Times New Roman" w:hint="default"/>
      </w:rPr>
    </w:lvl>
    <w:lvl w:ilvl="7" w:tplc="098CA71E">
      <w:start w:val="1"/>
      <w:numFmt w:val="bullet"/>
      <w:lvlText w:val="•"/>
      <w:lvlJc w:val="left"/>
      <w:pPr>
        <w:tabs>
          <w:tab w:val="num" w:pos="6160"/>
        </w:tabs>
        <w:ind w:left="6160" w:hanging="360"/>
      </w:pPr>
      <w:rPr>
        <w:rFonts w:ascii="Arial" w:hAnsi="Arial" w:cs="Times New Roman" w:hint="default"/>
      </w:rPr>
    </w:lvl>
    <w:lvl w:ilvl="8" w:tplc="B802A170">
      <w:start w:val="1"/>
      <w:numFmt w:val="bullet"/>
      <w:lvlText w:val="•"/>
      <w:lvlJc w:val="left"/>
      <w:pPr>
        <w:tabs>
          <w:tab w:val="num" w:pos="6880"/>
        </w:tabs>
        <w:ind w:left="6880" w:hanging="360"/>
      </w:pPr>
      <w:rPr>
        <w:rFonts w:ascii="Arial" w:hAnsi="Arial" w:cs="Times New Roman" w:hint="default"/>
      </w:rPr>
    </w:lvl>
  </w:abstractNum>
  <w:abstractNum w:abstractNumId="25"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DB6625D"/>
    <w:multiLevelType w:val="hybridMultilevel"/>
    <w:tmpl w:val="CAA24BBE"/>
    <w:lvl w:ilvl="0" w:tplc="472E1F54">
      <w:start w:val="1"/>
      <w:numFmt w:val="bullet"/>
      <w:lvlText w:val="•"/>
      <w:lvlJc w:val="left"/>
      <w:pPr>
        <w:tabs>
          <w:tab w:val="num" w:pos="720"/>
        </w:tabs>
        <w:ind w:left="720" w:hanging="360"/>
      </w:pPr>
      <w:rPr>
        <w:rFonts w:ascii="Arial" w:hAnsi="Arial" w:cs="Times New Roman" w:hint="default"/>
      </w:rPr>
    </w:lvl>
    <w:lvl w:ilvl="1" w:tplc="32041B0A">
      <w:start w:val="2963"/>
      <w:numFmt w:val="bullet"/>
      <w:lvlText w:val="–"/>
      <w:lvlJc w:val="left"/>
      <w:pPr>
        <w:tabs>
          <w:tab w:val="num" w:pos="1440"/>
        </w:tabs>
        <w:ind w:left="1440" w:hanging="360"/>
      </w:pPr>
      <w:rPr>
        <w:rFonts w:ascii="Arial" w:hAnsi="Arial" w:cs="Times New Roman" w:hint="default"/>
      </w:rPr>
    </w:lvl>
    <w:lvl w:ilvl="2" w:tplc="C244661C">
      <w:start w:val="1"/>
      <w:numFmt w:val="bullet"/>
      <w:lvlText w:val="•"/>
      <w:lvlJc w:val="left"/>
      <w:pPr>
        <w:tabs>
          <w:tab w:val="num" w:pos="2160"/>
        </w:tabs>
        <w:ind w:left="2160" w:hanging="360"/>
      </w:pPr>
      <w:rPr>
        <w:rFonts w:ascii="Arial" w:hAnsi="Arial" w:cs="Times New Roman" w:hint="default"/>
      </w:rPr>
    </w:lvl>
    <w:lvl w:ilvl="3" w:tplc="BD3AEECE">
      <w:start w:val="1"/>
      <w:numFmt w:val="bullet"/>
      <w:lvlText w:val="•"/>
      <w:lvlJc w:val="left"/>
      <w:pPr>
        <w:tabs>
          <w:tab w:val="num" w:pos="2880"/>
        </w:tabs>
        <w:ind w:left="2880" w:hanging="360"/>
      </w:pPr>
      <w:rPr>
        <w:rFonts w:ascii="Arial" w:hAnsi="Arial" w:cs="Times New Roman" w:hint="default"/>
      </w:rPr>
    </w:lvl>
    <w:lvl w:ilvl="4" w:tplc="D73A7856">
      <w:start w:val="1"/>
      <w:numFmt w:val="bullet"/>
      <w:lvlText w:val="•"/>
      <w:lvlJc w:val="left"/>
      <w:pPr>
        <w:tabs>
          <w:tab w:val="num" w:pos="3600"/>
        </w:tabs>
        <w:ind w:left="3600" w:hanging="360"/>
      </w:pPr>
      <w:rPr>
        <w:rFonts w:ascii="Arial" w:hAnsi="Arial" w:cs="Times New Roman" w:hint="default"/>
      </w:rPr>
    </w:lvl>
    <w:lvl w:ilvl="5" w:tplc="19BA6ACA">
      <w:start w:val="1"/>
      <w:numFmt w:val="bullet"/>
      <w:lvlText w:val="•"/>
      <w:lvlJc w:val="left"/>
      <w:pPr>
        <w:tabs>
          <w:tab w:val="num" w:pos="4320"/>
        </w:tabs>
        <w:ind w:left="4320" w:hanging="360"/>
      </w:pPr>
      <w:rPr>
        <w:rFonts w:ascii="Arial" w:hAnsi="Arial" w:cs="Times New Roman" w:hint="default"/>
      </w:rPr>
    </w:lvl>
    <w:lvl w:ilvl="6" w:tplc="424CEF7A">
      <w:start w:val="1"/>
      <w:numFmt w:val="bullet"/>
      <w:lvlText w:val="•"/>
      <w:lvlJc w:val="left"/>
      <w:pPr>
        <w:tabs>
          <w:tab w:val="num" w:pos="5040"/>
        </w:tabs>
        <w:ind w:left="5040" w:hanging="360"/>
      </w:pPr>
      <w:rPr>
        <w:rFonts w:ascii="Arial" w:hAnsi="Arial" w:cs="Times New Roman" w:hint="default"/>
      </w:rPr>
    </w:lvl>
    <w:lvl w:ilvl="7" w:tplc="C316D6E4">
      <w:start w:val="1"/>
      <w:numFmt w:val="bullet"/>
      <w:lvlText w:val="•"/>
      <w:lvlJc w:val="left"/>
      <w:pPr>
        <w:tabs>
          <w:tab w:val="num" w:pos="5760"/>
        </w:tabs>
        <w:ind w:left="5760" w:hanging="360"/>
      </w:pPr>
      <w:rPr>
        <w:rFonts w:ascii="Arial" w:hAnsi="Arial" w:cs="Times New Roman" w:hint="default"/>
      </w:rPr>
    </w:lvl>
    <w:lvl w:ilvl="8" w:tplc="941A191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A06EDD"/>
    <w:multiLevelType w:val="hybridMultilevel"/>
    <w:tmpl w:val="94B2D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0"/>
  </w:num>
  <w:num w:numId="3">
    <w:abstractNumId w:val="21"/>
  </w:num>
  <w:num w:numId="4">
    <w:abstractNumId w:val="37"/>
  </w:num>
  <w:num w:numId="5">
    <w:abstractNumId w:val="38"/>
  </w:num>
  <w:num w:numId="6">
    <w:abstractNumId w:val="27"/>
  </w:num>
  <w:num w:numId="7">
    <w:abstractNumId w:val="7"/>
  </w:num>
  <w:num w:numId="8">
    <w:abstractNumId w:val="1"/>
  </w:num>
  <w:num w:numId="9">
    <w:abstractNumId w:val="30"/>
  </w:num>
  <w:num w:numId="10">
    <w:abstractNumId w:val="15"/>
  </w:num>
  <w:num w:numId="11">
    <w:abstractNumId w:val="19"/>
  </w:num>
  <w:num w:numId="12">
    <w:abstractNumId w:val="6"/>
  </w:num>
  <w:num w:numId="13">
    <w:abstractNumId w:val="33"/>
  </w:num>
  <w:num w:numId="14">
    <w:abstractNumId w:val="20"/>
  </w:num>
  <w:num w:numId="15">
    <w:abstractNumId w:val="14"/>
  </w:num>
  <w:num w:numId="16">
    <w:abstractNumId w:val="31"/>
  </w:num>
  <w:num w:numId="17">
    <w:abstractNumId w:val="25"/>
  </w:num>
  <w:num w:numId="18">
    <w:abstractNumId w:val="18"/>
  </w:num>
  <w:num w:numId="19">
    <w:abstractNumId w:val="8"/>
  </w:num>
  <w:num w:numId="20">
    <w:abstractNumId w:val="9"/>
  </w:num>
  <w:num w:numId="21">
    <w:abstractNumId w:val="26"/>
  </w:num>
  <w:num w:numId="22">
    <w:abstractNumId w:val="2"/>
  </w:num>
  <w:num w:numId="23">
    <w:abstractNumId w:val="17"/>
  </w:num>
  <w:num w:numId="24">
    <w:abstractNumId w:val="22"/>
  </w:num>
  <w:num w:numId="25">
    <w:abstractNumId w:val="29"/>
  </w:num>
  <w:num w:numId="26">
    <w:abstractNumId w:val="5"/>
  </w:num>
  <w:num w:numId="27">
    <w:abstractNumId w:val="0"/>
  </w:num>
  <w:num w:numId="28">
    <w:abstractNumId w:val="32"/>
  </w:num>
  <w:num w:numId="29">
    <w:abstractNumId w:val="4"/>
  </w:num>
  <w:num w:numId="30">
    <w:abstractNumId w:val="34"/>
  </w:num>
  <w:num w:numId="31">
    <w:abstractNumId w:val="3"/>
  </w:num>
  <w:num w:numId="32">
    <w:abstractNumId w:val="16"/>
  </w:num>
  <w:num w:numId="33">
    <w:abstractNumId w:val="13"/>
  </w:num>
  <w:num w:numId="34">
    <w:abstractNumId w:val="35"/>
  </w:num>
  <w:num w:numId="35">
    <w:abstractNumId w:val="23"/>
  </w:num>
  <w:num w:numId="36">
    <w:abstractNumId w:val="11"/>
  </w:num>
  <w:num w:numId="37">
    <w:abstractNumId w:val="36"/>
  </w:num>
  <w:num w:numId="38">
    <w:abstractNumId w:val="24"/>
  </w:num>
  <w:num w:numId="3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435"/>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A23"/>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2D"/>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4C"/>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CE"/>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B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960"/>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02C"/>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1F"/>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937"/>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EE8"/>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28D"/>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7D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6B"/>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3F79"/>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37F"/>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6FA"/>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0E6"/>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3C6"/>
    <w:rsid w:val="00D47492"/>
    <w:rsid w:val="00D4763E"/>
    <w:rsid w:val="00D4770F"/>
    <w:rsid w:val="00D4778F"/>
    <w:rsid w:val="00D47DF5"/>
    <w:rsid w:val="00D47F92"/>
    <w:rsid w:val="00D50264"/>
    <w:rsid w:val="00D503C7"/>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0AA"/>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7D3"/>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EC2"/>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501540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85688098">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979411">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7990124">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5ACTRJNS4X5K-3-3210</_dlc_DocId>
    <_dlc_DocIdUrl xmlns="09bf1062-b00c-4aa1-ba18-87ca9e63a56e">
      <Url>https://projects.qualcomm.com/sites/espresso/_layouts/15/DocIdRedir.aspx?ID=5ACTRJNS4X5K-3-3210</Url>
      <Description>5ACTRJNS4X5K-3-3210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1854EB76-7A51-4F78-BC55-B058C79A9821}">
  <ds:schemaRefs>
    <ds:schemaRef ds:uri="http://schemas.openxmlformats.org/officeDocument/2006/bibliography"/>
  </ds:schemaRefs>
</ds:datastoreItem>
</file>

<file path=customXml/itemProps7.xml><?xml version="1.0" encoding="utf-8"?>
<ds:datastoreItem xmlns:ds="http://schemas.openxmlformats.org/officeDocument/2006/customXml" ds:itemID="{45A94821-2600-47B5-AEF0-B0A3104DB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937</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9</cp:revision>
  <cp:lastPrinted>2010-08-13T21:54:00Z</cp:lastPrinted>
  <dcterms:created xsi:type="dcterms:W3CDTF">2016-02-06T00:09:00Z</dcterms:created>
  <dcterms:modified xsi:type="dcterms:W3CDTF">2016-02-06T03:07:00Z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bf7a1525-530e-4dd9-8e70-4f0673a58796</vt:lpwstr>
  </property>
</Properties>
</file>